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A" w:rsidRPr="00D277C0" w:rsidRDefault="0016204A" w:rsidP="00183DC3">
      <w:pPr>
        <w:autoSpaceDE w:val="0"/>
        <w:autoSpaceDN w:val="0"/>
        <w:adjustRightInd w:val="0"/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77C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3695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2E" w:rsidRPr="00D277C0" w:rsidRDefault="004E346B" w:rsidP="0016204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7C0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Кадастровой палаты рассказали о зонах затопления и подтопления </w:t>
      </w:r>
    </w:p>
    <w:p w:rsidR="009E112E" w:rsidRPr="00D277C0" w:rsidRDefault="00A31A4B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b/>
          <w:color w:val="000000"/>
          <w:sz w:val="28"/>
          <w:szCs w:val="28"/>
        </w:rPr>
      </w:pPr>
      <w:r w:rsidRPr="00D277C0">
        <w:rPr>
          <w:rFonts w:ascii="Times New Roman" w:eastAsia="Calibri" w:hAnsi="Times New Roman" w:cs="Times New Roman"/>
          <w:b/>
          <w:sz w:val="28"/>
          <w:szCs w:val="28"/>
        </w:rPr>
        <w:t>Специалисты</w:t>
      </w:r>
      <w:r w:rsidR="009E112E" w:rsidRPr="00D277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Кадастровой палаты по Архангельской области и Ненецкому автономному округу 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внесли 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>в Единый государственный реестр недвижимости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 (ЕГРН)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 сведения о 25 зонах затопления и 25 зонах подтопления.</w:t>
      </w:r>
    </w:p>
    <w:p w:rsidR="009E112E" w:rsidRPr="00D277C0" w:rsidRDefault="009E1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Зоны затопления и подтопления относятся к зонам с особыми условиям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>и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использования территорий и отображаются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 xml:space="preserve"> на всех видах документации по градостроительному зонированию с целью соблюдения определенного режима использования территорий в местах</w:t>
      </w:r>
      <w:r w:rsidR="00676E90" w:rsidRPr="00D277C0">
        <w:rPr>
          <w:rFonts w:ascii="Times New Roman" w:hAnsi="Times New Roman" w:cs="Tahoma"/>
          <w:color w:val="000000"/>
          <w:sz w:val="28"/>
          <w:szCs w:val="28"/>
        </w:rPr>
        <w:t>,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 xml:space="preserve"> подверженных неблагоприятным гидрологическим явлениям. Это необходимо для предотвращения человеческих жертв и потерь имущественного характера.</w:t>
      </w:r>
    </w:p>
    <w:p w:rsidR="005D5D85" w:rsidRPr="00D277C0" w:rsidRDefault="005D5D85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Стоит отметить, что разница между затоплением и подтоплением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:rsidR="0080032B" w:rsidRPr="00D277C0" w:rsidRDefault="0080032B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proofErr w:type="gramStart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На сегодняшний день в ЕГРН внесены сведения о зонах затопления и подтопления муниципальных образований городов Архангельск и Котлас, населенных пунктов поселка Белогорский, сел Емецк и Холмогоры, деревень Верхняя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Паленьга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Холмогорского района, Бычье,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Лампожня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Мезенского района, поселка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Д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ябрино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Красноборского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района, деревень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Кеврола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Пинежского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района и 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>Лая, поселений в грани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цах муниципального образования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Заостровское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Приморского района, города Нарьян-Мар, поселка Искателей, деревень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Андег, Куя</w:t>
      </w:r>
      <w:proofErr w:type="gram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Тошвиска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, поселка Хорей-Вер, сел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Великовисочное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Оксино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 д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еревни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Лабожское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 п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оселка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gramStart"/>
      <w:r w:rsidRPr="00D277C0">
        <w:rPr>
          <w:rFonts w:ascii="Times New Roman" w:hAnsi="Times New Roman" w:cs="Tahoma"/>
          <w:color w:val="000000"/>
          <w:sz w:val="28"/>
          <w:szCs w:val="28"/>
        </w:rPr>
        <w:t>Красное</w:t>
      </w:r>
      <w:proofErr w:type="gram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Ненецкого автономного округа</w:t>
      </w:r>
    </w:p>
    <w:p w:rsidR="009E112E" w:rsidRPr="00D277C0" w:rsidRDefault="005D5D85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bCs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Порядок установления или изменения границ зон затопления и подтопления, а также 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t xml:space="preserve">режим использования территорий, расположенных в границах таких зон, 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регулируется </w:t>
      </w:r>
      <w:hyperlink r:id="rId8" w:history="1">
        <w:r w:rsidR="00676E90" w:rsidRPr="00D277C0">
          <w:rPr>
            <w:rStyle w:val="a5"/>
            <w:rFonts w:ascii="Times New Roman" w:hAnsi="Times New Roman" w:cs="Tahoma"/>
            <w:bCs/>
            <w:sz w:val="28"/>
            <w:szCs w:val="28"/>
          </w:rPr>
          <w:t>п</w:t>
        </w:r>
        <w:r w:rsidR="00926168" w:rsidRPr="00D277C0">
          <w:rPr>
            <w:rStyle w:val="a5"/>
            <w:rFonts w:ascii="Times New Roman" w:hAnsi="Times New Roman" w:cs="Tahoma"/>
            <w:bCs/>
            <w:sz w:val="28"/>
            <w:szCs w:val="28"/>
          </w:rPr>
          <w:t>остановлением Правительства Российской Федерации от 18.04.2014 № 360 «Об определении границ зон затопления, подтопления</w:t>
        </w:r>
      </w:hyperlink>
      <w:r w:rsidR="00926168" w:rsidRPr="00D277C0">
        <w:rPr>
          <w:rFonts w:ascii="Times New Roman" w:hAnsi="Times New Roman" w:cs="Tahoma"/>
          <w:bCs/>
          <w:color w:val="000000"/>
          <w:sz w:val="28"/>
          <w:szCs w:val="28"/>
        </w:rPr>
        <w:t>».</w:t>
      </w:r>
      <w:r w:rsidR="00A80D26"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 </w:t>
      </w:r>
    </w:p>
    <w:p w:rsidR="00926168" w:rsidRPr="00D277C0" w:rsidRDefault="00926168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Так, согласно </w:t>
      </w:r>
      <w:r w:rsidR="00676E90" w:rsidRPr="00D277C0">
        <w:rPr>
          <w:rFonts w:ascii="Times New Roman" w:hAnsi="Times New Roman" w:cs="Tahoma"/>
          <w:bCs/>
          <w:color w:val="000000"/>
          <w:sz w:val="28"/>
          <w:szCs w:val="28"/>
        </w:rPr>
        <w:t>р</w:t>
      </w: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>оссийскому законодательству</w:t>
      </w:r>
      <w:r w:rsidR="00676E90" w:rsidRPr="00D277C0">
        <w:rPr>
          <w:rFonts w:ascii="Times New Roman" w:hAnsi="Times New Roman" w:cs="Tahoma"/>
          <w:bCs/>
          <w:color w:val="000000"/>
          <w:sz w:val="28"/>
          <w:szCs w:val="28"/>
        </w:rPr>
        <w:t>,</w:t>
      </w: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 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решение об установлении или изменении таких зон принимается Федеральным агентством водных ресурсов или его территориальными органами на основании предложений органа исполнительной власти субъекта Российской Федерации, подготовленных совместно с органами местного самоуправления. Предложения по установлению или изменению зон затопления и подтопления подлежат обязательному согласованию с МЧС России,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Росприроднадзором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Рореестром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, либо с их территориальными органами. Кроме того, границы зон затопления дополнительно согласовываются с Росгидрометом, а подтопления </w:t>
      </w:r>
      <w:r w:rsidR="0080032B" w:rsidRPr="00D277C0">
        <w:rPr>
          <w:rFonts w:ascii="Times New Roman" w:hAnsi="Times New Roman" w:cs="Tahoma"/>
          <w:color w:val="000000"/>
          <w:sz w:val="28"/>
          <w:szCs w:val="28"/>
        </w:rPr>
        <w:t>–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с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Роснедрами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926168" w:rsidRPr="00D277C0" w:rsidRDefault="00926168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Зоны затопления и подтопления считаются установленными со дня внесения сведений</w:t>
      </w:r>
      <w:r w:rsidR="00676E90" w:rsidRPr="00D277C0">
        <w:rPr>
          <w:rFonts w:ascii="Times New Roman" w:hAnsi="Times New Roman" w:cs="Tahoma"/>
          <w:color w:val="000000"/>
          <w:sz w:val="28"/>
          <w:szCs w:val="28"/>
        </w:rPr>
        <w:t xml:space="preserve"> о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них в Единый государственн</w:t>
      </w:r>
      <w:bookmarkStart w:id="0" w:name="_GoBack"/>
      <w:bookmarkEnd w:id="0"/>
      <w:r w:rsidRPr="00D277C0">
        <w:rPr>
          <w:rFonts w:ascii="Times New Roman" w:hAnsi="Times New Roman" w:cs="Tahoma"/>
          <w:color w:val="000000"/>
          <w:sz w:val="28"/>
          <w:szCs w:val="28"/>
        </w:rPr>
        <w:t>ый реестр недвижимости.</w:t>
      </w:r>
    </w:p>
    <w:p w:rsidR="00926168" w:rsidRPr="00D277C0" w:rsidRDefault="00F13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«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В границах зон затопления и подтопления запрещается размещать новые населённые пункты и объекты капитального строительства без обеспечения 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инженерной защиты от затопления или подтопления. Кроме того, на таких территориях нельзя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использовать сточные воды в целя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х регулирования плодородия почв. На них запрещается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размещать кладбища, скотомогильники, свалки различных видов отходов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, а также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распылять химикаты против вредителей с воздуха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»,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– отметила 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>начальник отдела инфраструктуры пространственных данных Кадастровой палаты по Архангельской области и Ненецкому автономному округу Ирина Махонина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4E346B" w:rsidRPr="004E346B" w:rsidRDefault="00F13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Актуальную и</w:t>
      </w:r>
      <w:r w:rsidR="00F47288" w:rsidRPr="00D277C0">
        <w:rPr>
          <w:rFonts w:ascii="Times New Roman" w:hAnsi="Times New Roman" w:cs="Tahoma"/>
          <w:color w:val="000000"/>
          <w:sz w:val="28"/>
          <w:szCs w:val="28"/>
        </w:rPr>
        <w:t xml:space="preserve">нформацию </w:t>
      </w:r>
      <w:r w:rsidR="000A3B17" w:rsidRPr="00D277C0">
        <w:rPr>
          <w:rFonts w:ascii="Times New Roman" w:hAnsi="Times New Roman" w:cs="Tahoma"/>
          <w:color w:val="000000"/>
          <w:sz w:val="28"/>
          <w:szCs w:val="28"/>
        </w:rPr>
        <w:t>о зонах затопления и подтопления</w:t>
      </w:r>
      <w:r w:rsidR="00F47288" w:rsidRPr="00D277C0">
        <w:rPr>
          <w:rFonts w:ascii="Times New Roman" w:hAnsi="Times New Roman" w:cs="Tahoma"/>
          <w:color w:val="000000"/>
          <w:sz w:val="28"/>
          <w:szCs w:val="28"/>
        </w:rPr>
        <w:t xml:space="preserve"> можно получить </w:t>
      </w:r>
      <w:r w:rsidR="00F47288" w:rsidRPr="00D277C0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9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="00F47288" w:rsidRPr="00D277C0">
        <w:rPr>
          <w:rFonts w:ascii="Times New Roman" w:hAnsi="Times New Roman"/>
          <w:sz w:val="28"/>
          <w:szCs w:val="28"/>
        </w:rPr>
        <w:t xml:space="preserve">» либо заказав выписку из ЕГРН в любом </w:t>
      </w:r>
      <w:r w:rsidRPr="00D277C0">
        <w:rPr>
          <w:rFonts w:ascii="Times New Roman" w:hAnsi="Times New Roman"/>
          <w:sz w:val="28"/>
          <w:szCs w:val="28"/>
        </w:rPr>
        <w:t>офисе МФЦ</w:t>
      </w:r>
      <w:r w:rsidR="00F47288" w:rsidRPr="00D277C0">
        <w:rPr>
          <w:rFonts w:ascii="Times New Roman" w:hAnsi="Times New Roman"/>
          <w:sz w:val="28"/>
          <w:szCs w:val="28"/>
        </w:rPr>
        <w:t>,</w:t>
      </w:r>
      <w:r w:rsidRPr="00D277C0">
        <w:rPr>
          <w:rFonts w:ascii="Times New Roman" w:hAnsi="Times New Roman"/>
          <w:sz w:val="28"/>
          <w:szCs w:val="28"/>
        </w:rPr>
        <w:t xml:space="preserve"> или</w:t>
      </w:r>
      <w:r w:rsidR="00F47288" w:rsidRPr="00D277C0">
        <w:rPr>
          <w:rFonts w:ascii="Times New Roman" w:hAnsi="Times New Roman"/>
          <w:sz w:val="28"/>
          <w:szCs w:val="28"/>
        </w:rPr>
        <w:t xml:space="preserve"> с помощью </w:t>
      </w:r>
      <w:hyperlink r:id="rId10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="00F47288" w:rsidRPr="00D277C0">
        <w:rPr>
          <w:rFonts w:ascii="Times New Roman" w:hAnsi="Times New Roman"/>
          <w:sz w:val="28"/>
          <w:szCs w:val="28"/>
        </w:rPr>
        <w:t xml:space="preserve"> Кадастровой палаты или на сайте </w:t>
      </w:r>
      <w:hyperlink r:id="rId11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="00F47288" w:rsidRPr="00D277C0">
        <w:rPr>
          <w:rFonts w:ascii="Times New Roman" w:hAnsi="Times New Roman"/>
          <w:sz w:val="28"/>
          <w:szCs w:val="28"/>
        </w:rPr>
        <w:t>.</w:t>
      </w:r>
    </w:p>
    <w:sectPr w:rsidR="004E346B" w:rsidRPr="004E346B" w:rsidSect="0085303B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97" w:rsidRDefault="00DB2697" w:rsidP="0085303B">
      <w:pPr>
        <w:spacing w:after="0" w:line="240" w:lineRule="auto"/>
      </w:pPr>
      <w:r>
        <w:separator/>
      </w:r>
    </w:p>
  </w:endnote>
  <w:endnote w:type="continuationSeparator" w:id="0">
    <w:p w:rsidR="00DB2697" w:rsidRDefault="00DB2697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97" w:rsidRDefault="00DB2697" w:rsidP="0085303B">
      <w:pPr>
        <w:spacing w:after="0" w:line="240" w:lineRule="auto"/>
      </w:pPr>
      <w:r>
        <w:separator/>
      </w:r>
    </w:p>
  </w:footnote>
  <w:footnote w:type="continuationSeparator" w:id="0">
    <w:p w:rsidR="00DB2697" w:rsidRDefault="00DB2697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A80D26" w:rsidRDefault="00490FC0">
        <w:pPr>
          <w:pStyle w:val="a6"/>
          <w:jc w:val="center"/>
        </w:pPr>
        <w:r>
          <w:fldChar w:fldCharType="begin"/>
        </w:r>
        <w:r w:rsidR="00DB2697">
          <w:instrText xml:space="preserve"> PAGE   \* MERGEFORMAT </w:instrText>
        </w:r>
        <w:r>
          <w:fldChar w:fldCharType="separate"/>
        </w:r>
        <w:r w:rsidR="00D27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D26" w:rsidRDefault="00A80D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75435"/>
    <w:rsid w:val="000919D1"/>
    <w:rsid w:val="000A3B17"/>
    <w:rsid w:val="000D6C25"/>
    <w:rsid w:val="00101CBF"/>
    <w:rsid w:val="00106D5B"/>
    <w:rsid w:val="00116B3F"/>
    <w:rsid w:val="00144FD1"/>
    <w:rsid w:val="00155B3B"/>
    <w:rsid w:val="00161FCF"/>
    <w:rsid w:val="0016204A"/>
    <w:rsid w:val="00183DC3"/>
    <w:rsid w:val="00187597"/>
    <w:rsid w:val="001B46C2"/>
    <w:rsid w:val="001C2DB4"/>
    <w:rsid w:val="001D2BAD"/>
    <w:rsid w:val="00214986"/>
    <w:rsid w:val="00295B4D"/>
    <w:rsid w:val="002D2E21"/>
    <w:rsid w:val="00304C61"/>
    <w:rsid w:val="00336184"/>
    <w:rsid w:val="00336580"/>
    <w:rsid w:val="00360673"/>
    <w:rsid w:val="003A637E"/>
    <w:rsid w:val="003C421D"/>
    <w:rsid w:val="003D2705"/>
    <w:rsid w:val="004147D2"/>
    <w:rsid w:val="0045350C"/>
    <w:rsid w:val="004747CB"/>
    <w:rsid w:val="0048606E"/>
    <w:rsid w:val="00490FC0"/>
    <w:rsid w:val="004E346B"/>
    <w:rsid w:val="004F62CF"/>
    <w:rsid w:val="0050021E"/>
    <w:rsid w:val="00526DB6"/>
    <w:rsid w:val="005A09BE"/>
    <w:rsid w:val="005B15B0"/>
    <w:rsid w:val="005D5D85"/>
    <w:rsid w:val="005E1BD4"/>
    <w:rsid w:val="005E4D8A"/>
    <w:rsid w:val="005F7F58"/>
    <w:rsid w:val="006025D1"/>
    <w:rsid w:val="0061601D"/>
    <w:rsid w:val="00676E90"/>
    <w:rsid w:val="0068048A"/>
    <w:rsid w:val="00731BCB"/>
    <w:rsid w:val="007B260E"/>
    <w:rsid w:val="007B3D09"/>
    <w:rsid w:val="0080032B"/>
    <w:rsid w:val="00814946"/>
    <w:rsid w:val="0085303B"/>
    <w:rsid w:val="00860F48"/>
    <w:rsid w:val="008B7BD3"/>
    <w:rsid w:val="008F6EB6"/>
    <w:rsid w:val="00910F89"/>
    <w:rsid w:val="00926168"/>
    <w:rsid w:val="009403B5"/>
    <w:rsid w:val="009922C5"/>
    <w:rsid w:val="009B0005"/>
    <w:rsid w:val="009E112E"/>
    <w:rsid w:val="009F190D"/>
    <w:rsid w:val="00A23FEF"/>
    <w:rsid w:val="00A31A4B"/>
    <w:rsid w:val="00A3343C"/>
    <w:rsid w:val="00A44E71"/>
    <w:rsid w:val="00A80D26"/>
    <w:rsid w:val="00B02678"/>
    <w:rsid w:val="00B92C52"/>
    <w:rsid w:val="00BB45EF"/>
    <w:rsid w:val="00C2634E"/>
    <w:rsid w:val="00C41C5D"/>
    <w:rsid w:val="00CC5FB2"/>
    <w:rsid w:val="00CD59B6"/>
    <w:rsid w:val="00CF6B74"/>
    <w:rsid w:val="00D23625"/>
    <w:rsid w:val="00D277C0"/>
    <w:rsid w:val="00D610E1"/>
    <w:rsid w:val="00D753DD"/>
    <w:rsid w:val="00D94F05"/>
    <w:rsid w:val="00DA7CA9"/>
    <w:rsid w:val="00DB2697"/>
    <w:rsid w:val="00E0370C"/>
    <w:rsid w:val="00E659B6"/>
    <w:rsid w:val="00E71099"/>
    <w:rsid w:val="00E733FD"/>
    <w:rsid w:val="00EC0707"/>
    <w:rsid w:val="00EC2CD4"/>
    <w:rsid w:val="00EC63F9"/>
    <w:rsid w:val="00F11B19"/>
    <w:rsid w:val="00F1312E"/>
    <w:rsid w:val="00F336FC"/>
    <w:rsid w:val="00F37649"/>
    <w:rsid w:val="00F47288"/>
    <w:rsid w:val="00FC4970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paragraph" w:styleId="1">
    <w:name w:val="heading 1"/>
    <w:basedOn w:val="a"/>
    <w:link w:val="10"/>
    <w:uiPriority w:val="9"/>
    <w:qFormat/>
    <w:rsid w:val="0086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1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4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C2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041/0845443b607563216fca88a2e2a96d3ce2f55e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14</cp:revision>
  <cp:lastPrinted>2021-05-05T12:36:00Z</cp:lastPrinted>
  <dcterms:created xsi:type="dcterms:W3CDTF">2021-01-28T13:17:00Z</dcterms:created>
  <dcterms:modified xsi:type="dcterms:W3CDTF">2021-05-07T09:10:00Z</dcterms:modified>
</cp:coreProperties>
</file>