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9D5" w:rsidRDefault="000919D5" w:rsidP="00F667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</w:pPr>
      <w:r w:rsidRPr="00F667D9"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  <w:t>Может ли потребитель осуществлять предварительную оплату к</w:t>
      </w:r>
      <w:bookmarkStart w:id="0" w:name="_GoBack"/>
      <w:bookmarkEnd w:id="0"/>
      <w:r w:rsidRPr="00F667D9"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  <w:t>оммунальных услуг в счет будущих периодов?</w:t>
      </w:r>
    </w:p>
    <w:p w:rsidR="00F667D9" w:rsidRPr="00F667D9" w:rsidRDefault="00F667D9" w:rsidP="00F6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</w:pPr>
    </w:p>
    <w:p w:rsidR="000919D5" w:rsidRPr="000919D5" w:rsidRDefault="000919D5" w:rsidP="00F667D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919D5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По общему правилу может. Если договором, содержащим положения о предоставлении коммунальных услуг, не установлен иной порядок оплаты, потребитель вправе по своему выбору осуществлять предварительную оплату коммунальных услуг в счет будущих расчетных периодов, при этом уведомлять поставщика услуг или управляющую компанию не требуется (в силу п. 65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домов»).</w:t>
      </w:r>
    </w:p>
    <w:p w:rsidR="00BD6AF9" w:rsidRDefault="00BD6AF9"/>
    <w:sectPr w:rsidR="00BD6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D5"/>
    <w:rsid w:val="000919D5"/>
    <w:rsid w:val="00BD6AF9"/>
    <w:rsid w:val="00F6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D83A"/>
  <w15:docId w15:val="{B586C5B2-EBB3-4A42-B27B-256D9342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919D5"/>
  </w:style>
  <w:style w:type="character" w:customStyle="1" w:styleId="feeds-pagenavigationtooltip">
    <w:name w:val="feeds-page__navigation_tooltip"/>
    <w:basedOn w:val="a0"/>
    <w:rsid w:val="000919D5"/>
  </w:style>
  <w:style w:type="paragraph" w:styleId="a3">
    <w:name w:val="Normal (Web)"/>
    <w:basedOn w:val="a"/>
    <w:uiPriority w:val="99"/>
    <w:semiHidden/>
    <w:unhideWhenUsed/>
    <w:rsid w:val="00091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5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32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7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3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81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Румянцева Ирина Вячеславовна</cp:lastModifiedBy>
  <cp:revision>2</cp:revision>
  <dcterms:created xsi:type="dcterms:W3CDTF">2022-09-20T13:20:00Z</dcterms:created>
  <dcterms:modified xsi:type="dcterms:W3CDTF">2022-09-21T17:39:00Z</dcterms:modified>
</cp:coreProperties>
</file>