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F93ABF" w:rsidRPr="00F93ABF">
        <w:rPr>
          <w:rFonts w:ascii="Times New Roman" w:hAnsi="Times New Roman" w:cs="Times New Roman"/>
          <w:sz w:val="24"/>
          <w:szCs w:val="24"/>
        </w:rPr>
        <w:t>"ВЛ-0,4-1312-01 оп.№№6а-6б"</w:t>
      </w:r>
      <w:r w:rsidR="00F93ABF">
        <w:rPr>
          <w:rFonts w:ascii="Times New Roman" w:hAnsi="Times New Roman" w:cs="Times New Roman"/>
          <w:sz w:val="24"/>
          <w:szCs w:val="24"/>
        </w:rPr>
        <w:t xml:space="preserve">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F93ABF" w:rsidRPr="00F93ABF">
        <w:rPr>
          <w:rFonts w:ascii="Times New Roman" w:hAnsi="Times New Roman" w:cs="Times New Roman"/>
          <w:color w:val="000000"/>
          <w:sz w:val="24"/>
          <w:szCs w:val="24"/>
        </w:rPr>
        <w:t>29:20:091001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F93ABF" w:rsidRPr="00F93ABF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247186">
        <w:tc>
          <w:tcPr>
            <w:tcW w:w="1977" w:type="dxa"/>
          </w:tcPr>
          <w:p w:rsidR="0049754E" w:rsidRPr="0019300C" w:rsidRDefault="00F93AB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29:20:091001:103</w:t>
            </w:r>
          </w:p>
        </w:tc>
        <w:tc>
          <w:tcPr>
            <w:tcW w:w="7594" w:type="dxa"/>
          </w:tcPr>
          <w:p w:rsidR="0049754E" w:rsidRPr="0019300C" w:rsidRDefault="00F93ABF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</w:t>
            </w:r>
            <w:proofErr w:type="spellStart"/>
            <w:proofErr w:type="gramStart"/>
            <w:r w:rsidRPr="00F93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</w:t>
            </w:r>
            <w:proofErr w:type="spellEnd"/>
            <w:proofErr w:type="gramEnd"/>
            <w:r w:rsidRPr="00F93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Климово-Заборье, ул. Круглый бор, дом 7-б</w:t>
            </w:r>
          </w:p>
        </w:tc>
      </w:tr>
    </w:tbl>
    <w:p w:rsidR="0049754E" w:rsidRPr="0019300C" w:rsidRDefault="00F93ABF" w:rsidP="009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ABF">
        <w:rPr>
          <w:rFonts w:ascii="Times New Roman" w:hAnsi="Times New Roman" w:cs="Times New Roman"/>
          <w:color w:val="000000"/>
          <w:sz w:val="24"/>
          <w:szCs w:val="24"/>
        </w:rPr>
        <w:t>29:20:091001:103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5361E"/>
    <w:rsid w:val="0019300C"/>
    <w:rsid w:val="00225339"/>
    <w:rsid w:val="002307CC"/>
    <w:rsid w:val="00247186"/>
    <w:rsid w:val="002B3038"/>
    <w:rsid w:val="002C1862"/>
    <w:rsid w:val="0037757A"/>
    <w:rsid w:val="003C29BB"/>
    <w:rsid w:val="003C485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45FD4"/>
    <w:rsid w:val="007918E9"/>
    <w:rsid w:val="00796CCB"/>
    <w:rsid w:val="008033C5"/>
    <w:rsid w:val="008429B2"/>
    <w:rsid w:val="00851CA6"/>
    <w:rsid w:val="0087150D"/>
    <w:rsid w:val="008B5157"/>
    <w:rsid w:val="008D7395"/>
    <w:rsid w:val="008E4D44"/>
    <w:rsid w:val="008E5900"/>
    <w:rsid w:val="009278C9"/>
    <w:rsid w:val="00942847"/>
    <w:rsid w:val="00947F2E"/>
    <w:rsid w:val="00975A50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92617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70B1"/>
    <w:rsid w:val="00EC1AD8"/>
    <w:rsid w:val="00EC1B3A"/>
    <w:rsid w:val="00F71E5B"/>
    <w:rsid w:val="00F93ABF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50</cp:revision>
  <dcterms:created xsi:type="dcterms:W3CDTF">2016-09-21T11:42:00Z</dcterms:created>
  <dcterms:modified xsi:type="dcterms:W3CDTF">2021-04-28T12:46:00Z</dcterms:modified>
</cp:coreProperties>
</file>